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8B" w:rsidRPr="009B6313" w:rsidRDefault="009B6313" w:rsidP="00BD1728">
      <w:pPr>
        <w:overflowPunct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Cs w:val="20"/>
        </w:rPr>
      </w:pPr>
      <w:r w:rsidRPr="009B6313">
        <w:rPr>
          <w:b/>
          <w:szCs w:val="20"/>
        </w:rPr>
        <w:t>I tre stadi di urbanizzazione</w:t>
      </w:r>
    </w:p>
    <w:p w:rsidR="0023185D" w:rsidRPr="0023185D" w:rsidRDefault="0023185D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23185D">
        <w:rPr>
          <w:szCs w:val="20"/>
        </w:rPr>
        <w:t> </w:t>
      </w:r>
    </w:p>
    <w:p w:rsidR="000050DB" w:rsidRDefault="0023185D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23185D">
        <w:rPr>
          <w:szCs w:val="20"/>
        </w:rPr>
        <w:t>E</w:t>
      </w:r>
      <w:r w:rsidR="001C2CAD">
        <w:rPr>
          <w:szCs w:val="20"/>
        </w:rPr>
        <w:t>’</w:t>
      </w:r>
      <w:r w:rsidRPr="0023185D">
        <w:rPr>
          <w:szCs w:val="20"/>
        </w:rPr>
        <w:t xml:space="preserve"> ormai accettato dai geografi lo schema dei </w:t>
      </w:r>
      <w:r w:rsidRPr="00BD1728">
        <w:rPr>
          <w:szCs w:val="20"/>
        </w:rPr>
        <w:t>tre stadi di urbanizzazione</w:t>
      </w:r>
      <w:r w:rsidRPr="0023185D">
        <w:rPr>
          <w:szCs w:val="20"/>
        </w:rPr>
        <w:t xml:space="preserve">, </w:t>
      </w:r>
      <w:r w:rsidR="002662EE">
        <w:rPr>
          <w:szCs w:val="20"/>
        </w:rPr>
        <w:t xml:space="preserve">che corrispondono a </w:t>
      </w:r>
      <w:r w:rsidRPr="0023185D">
        <w:rPr>
          <w:szCs w:val="20"/>
        </w:rPr>
        <w:t xml:space="preserve">tre </w:t>
      </w:r>
      <w:r w:rsidR="000050DB">
        <w:rPr>
          <w:szCs w:val="20"/>
        </w:rPr>
        <w:t xml:space="preserve">diversi </w:t>
      </w:r>
      <w:r w:rsidRPr="0023185D">
        <w:rPr>
          <w:szCs w:val="20"/>
        </w:rPr>
        <w:t>stadi di ind</w:t>
      </w:r>
      <w:r w:rsidR="000050DB">
        <w:rPr>
          <w:szCs w:val="20"/>
        </w:rPr>
        <w:t>ustrializzazione.</w:t>
      </w:r>
    </w:p>
    <w:p w:rsidR="006A33C0" w:rsidRDefault="0023185D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23185D">
        <w:rPr>
          <w:szCs w:val="20"/>
        </w:rPr>
        <w:t>I tre sta</w:t>
      </w:r>
      <w:r w:rsidR="000050DB">
        <w:rPr>
          <w:szCs w:val="20"/>
        </w:rPr>
        <w:t>di di urbanizzazione</w:t>
      </w:r>
      <w:r w:rsidR="006A33C0">
        <w:rPr>
          <w:szCs w:val="20"/>
        </w:rPr>
        <w:t>, in ordine storico e cronologico,</w:t>
      </w:r>
      <w:r w:rsidR="000050DB">
        <w:rPr>
          <w:szCs w:val="20"/>
        </w:rPr>
        <w:t xml:space="preserve"> sono quelli</w:t>
      </w:r>
      <w:r w:rsidRPr="0023185D">
        <w:rPr>
          <w:szCs w:val="20"/>
        </w:rPr>
        <w:t xml:space="preserve"> della</w:t>
      </w:r>
      <w:r w:rsidR="000050DB">
        <w:rPr>
          <w:szCs w:val="20"/>
        </w:rPr>
        <w:t xml:space="preserve"> (1)</w:t>
      </w:r>
      <w:r w:rsidRPr="0023185D">
        <w:rPr>
          <w:szCs w:val="20"/>
        </w:rPr>
        <w:t xml:space="preserve"> concentrazione</w:t>
      </w:r>
      <w:r w:rsidR="00071592">
        <w:rPr>
          <w:szCs w:val="20"/>
        </w:rPr>
        <w:t xml:space="preserve"> urbana</w:t>
      </w:r>
      <w:r w:rsidRPr="0023185D">
        <w:rPr>
          <w:szCs w:val="20"/>
        </w:rPr>
        <w:t xml:space="preserve">, quello della </w:t>
      </w:r>
      <w:r w:rsidR="000050DB">
        <w:rPr>
          <w:szCs w:val="20"/>
        </w:rPr>
        <w:t xml:space="preserve">(2) </w:t>
      </w:r>
      <w:proofErr w:type="spellStart"/>
      <w:r w:rsidRPr="0023185D">
        <w:rPr>
          <w:szCs w:val="20"/>
        </w:rPr>
        <w:t>sub</w:t>
      </w:r>
      <w:r w:rsidR="000050DB">
        <w:rPr>
          <w:szCs w:val="20"/>
        </w:rPr>
        <w:t>-</w:t>
      </w:r>
      <w:r w:rsidRPr="0023185D">
        <w:rPr>
          <w:szCs w:val="20"/>
        </w:rPr>
        <w:t>urbanizzazíone</w:t>
      </w:r>
      <w:proofErr w:type="spellEnd"/>
      <w:r w:rsidRPr="0023185D">
        <w:rPr>
          <w:szCs w:val="20"/>
        </w:rPr>
        <w:t xml:space="preserve"> e quello del</w:t>
      </w:r>
      <w:r w:rsidR="000050DB">
        <w:rPr>
          <w:szCs w:val="20"/>
        </w:rPr>
        <w:t xml:space="preserve"> (3)</w:t>
      </w:r>
      <w:r w:rsidR="006A33C0">
        <w:rPr>
          <w:szCs w:val="20"/>
        </w:rPr>
        <w:t xml:space="preserve"> decentramento. P</w:t>
      </w:r>
      <w:r w:rsidRPr="0023185D">
        <w:rPr>
          <w:szCs w:val="20"/>
        </w:rPr>
        <w:t xml:space="preserve">oiché </w:t>
      </w:r>
      <w:r w:rsidR="001C2CAD">
        <w:rPr>
          <w:szCs w:val="20"/>
        </w:rPr>
        <w:t>l’industrializzazione è cambiata nel corso del tempo</w:t>
      </w:r>
      <w:r w:rsidRPr="0023185D">
        <w:rPr>
          <w:szCs w:val="20"/>
        </w:rPr>
        <w:t xml:space="preserve"> da paese a paese, anche gli stadi corrispondenti dell</w:t>
      </w:r>
      <w:r w:rsidR="001C2CAD">
        <w:rPr>
          <w:szCs w:val="20"/>
        </w:rPr>
        <w:t>’</w:t>
      </w:r>
      <w:r w:rsidRPr="0023185D">
        <w:rPr>
          <w:szCs w:val="20"/>
        </w:rPr>
        <w:t xml:space="preserve">urbanizzazione possono </w:t>
      </w:r>
      <w:r w:rsidR="001C2CAD">
        <w:rPr>
          <w:szCs w:val="20"/>
        </w:rPr>
        <w:t>susseguirsi</w:t>
      </w:r>
      <w:r w:rsidR="000050DB">
        <w:rPr>
          <w:szCs w:val="20"/>
        </w:rPr>
        <w:t xml:space="preserve"> in tempi diversi</w:t>
      </w:r>
      <w:r w:rsidR="006A33C0">
        <w:rPr>
          <w:szCs w:val="20"/>
        </w:rPr>
        <w:t>.</w:t>
      </w:r>
    </w:p>
    <w:p w:rsidR="002662EE" w:rsidRPr="0023185D" w:rsidRDefault="002662E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Vediamo in modo analitico quali sono e che caratteristiche hanno i tre stadi dell</w:t>
      </w:r>
      <w:r w:rsidR="001C2CAD">
        <w:rPr>
          <w:szCs w:val="20"/>
        </w:rPr>
        <w:t>’</w:t>
      </w:r>
      <w:r>
        <w:rPr>
          <w:szCs w:val="20"/>
        </w:rPr>
        <w:t>urbanizzazione.</w:t>
      </w:r>
    </w:p>
    <w:p w:rsidR="000050DB" w:rsidRDefault="000050D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1C2CAD" w:rsidRDefault="00FE54A5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 xml:space="preserve">1. </w:t>
      </w:r>
      <w:r w:rsidR="0023185D" w:rsidRPr="0023185D">
        <w:rPr>
          <w:szCs w:val="20"/>
        </w:rPr>
        <w:t xml:space="preserve">Il </w:t>
      </w:r>
      <w:r w:rsidR="0023185D" w:rsidRPr="00BD1728">
        <w:rPr>
          <w:szCs w:val="20"/>
        </w:rPr>
        <w:t>primo stadio</w:t>
      </w:r>
      <w:r w:rsidR="0023185D" w:rsidRPr="0023185D">
        <w:rPr>
          <w:szCs w:val="20"/>
        </w:rPr>
        <w:t xml:space="preserve"> dell</w:t>
      </w:r>
      <w:r w:rsidR="001C2CAD">
        <w:rPr>
          <w:szCs w:val="20"/>
        </w:rPr>
        <w:t>’</w:t>
      </w:r>
      <w:r w:rsidR="0023185D" w:rsidRPr="0023185D">
        <w:rPr>
          <w:szCs w:val="20"/>
        </w:rPr>
        <w:t xml:space="preserve">urbanizzazione è quello della concentrazione urbana, </w:t>
      </w:r>
      <w:r w:rsidR="001C2CAD">
        <w:rPr>
          <w:szCs w:val="20"/>
        </w:rPr>
        <w:t>che si è affermato a partire dalla Rivoluzione Industriale (fine</w:t>
      </w:r>
      <w:r w:rsidR="002662EE">
        <w:rPr>
          <w:szCs w:val="20"/>
        </w:rPr>
        <w:t xml:space="preserve"> XVII sec.</w:t>
      </w:r>
      <w:r w:rsidR="001C2CAD">
        <w:rPr>
          <w:szCs w:val="20"/>
        </w:rPr>
        <w:t xml:space="preserve">) fino alla metà del XX sec. La caratteristica fondamentale di questa fase dell’urbanizzazione dipende dal modello di organizzazione industriale: </w:t>
      </w:r>
      <w:r w:rsidR="0023185D" w:rsidRPr="0023185D">
        <w:rPr>
          <w:szCs w:val="20"/>
        </w:rPr>
        <w:t>le</w:t>
      </w:r>
      <w:r w:rsidR="006A33C0">
        <w:rPr>
          <w:szCs w:val="20"/>
        </w:rPr>
        <w:t xml:space="preserve"> grandi</w:t>
      </w:r>
      <w:r w:rsidR="0023185D" w:rsidRPr="0023185D">
        <w:rPr>
          <w:szCs w:val="20"/>
        </w:rPr>
        <w:t xml:space="preserve"> industrie</w:t>
      </w:r>
      <w:r w:rsidR="001C2CAD">
        <w:rPr>
          <w:szCs w:val="20"/>
        </w:rPr>
        <w:t xml:space="preserve"> infatti</w:t>
      </w:r>
      <w:r w:rsidR="002662EE">
        <w:rPr>
          <w:szCs w:val="20"/>
        </w:rPr>
        <w:t>, per la produzione dei prodotti finiti,</w:t>
      </w:r>
      <w:r w:rsidR="0023185D" w:rsidRPr="0023185D">
        <w:rPr>
          <w:szCs w:val="20"/>
        </w:rPr>
        <w:t xml:space="preserve"> </w:t>
      </w:r>
      <w:r w:rsidR="001C2CAD">
        <w:rPr>
          <w:szCs w:val="20"/>
        </w:rPr>
        <w:t>devono utilizzare</w:t>
      </w:r>
      <w:r w:rsidR="0023185D" w:rsidRPr="0023185D">
        <w:rPr>
          <w:szCs w:val="20"/>
        </w:rPr>
        <w:t xml:space="preserve"> grandi quantità di materie prime, di fonti energetiche e</w:t>
      </w:r>
      <w:r w:rsidR="00CF0948">
        <w:rPr>
          <w:szCs w:val="20"/>
        </w:rPr>
        <w:t xml:space="preserve"> di</w:t>
      </w:r>
      <w:r w:rsidR="0023185D" w:rsidRPr="0023185D">
        <w:rPr>
          <w:szCs w:val="20"/>
        </w:rPr>
        <w:t xml:space="preserve"> manodopera</w:t>
      </w:r>
      <w:r w:rsidR="002662EE">
        <w:rPr>
          <w:szCs w:val="20"/>
        </w:rPr>
        <w:t>. Per q</w:t>
      </w:r>
      <w:r w:rsidR="006A33C0">
        <w:rPr>
          <w:szCs w:val="20"/>
        </w:rPr>
        <w:t xml:space="preserve">uesto motivo, le grandi industrie </w:t>
      </w:r>
      <w:r w:rsidR="002662EE">
        <w:rPr>
          <w:szCs w:val="20"/>
        </w:rPr>
        <w:t>devono cercare di limitare il più possibile i movimenti di materie prime, merci e manodopera, poiché mancano ancora un</w:t>
      </w:r>
      <w:r w:rsidR="001C2CAD">
        <w:rPr>
          <w:szCs w:val="20"/>
        </w:rPr>
        <w:t>’</w:t>
      </w:r>
      <w:r w:rsidR="002662EE">
        <w:rPr>
          <w:szCs w:val="20"/>
        </w:rPr>
        <w:t>efficiente rete di trasporti.</w:t>
      </w:r>
    </w:p>
    <w:p w:rsidR="002662EE" w:rsidRDefault="001C2CAD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Ciò rende</w:t>
      </w:r>
      <w:r w:rsidR="0023185D" w:rsidRPr="0023185D">
        <w:rPr>
          <w:szCs w:val="20"/>
        </w:rPr>
        <w:t xml:space="preserve"> necessaria la </w:t>
      </w:r>
      <w:r w:rsidR="002662EE">
        <w:rPr>
          <w:szCs w:val="20"/>
        </w:rPr>
        <w:t>stretta vicinanza</w:t>
      </w:r>
      <w:r w:rsidR="0023185D" w:rsidRPr="0023185D">
        <w:rPr>
          <w:szCs w:val="20"/>
        </w:rPr>
        <w:t xml:space="preserve"> tra</w:t>
      </w:r>
      <w:r w:rsidR="002662EE">
        <w:rPr>
          <w:szCs w:val="20"/>
        </w:rPr>
        <w:t xml:space="preserve"> tutti i luoghi che sono coinvo</w:t>
      </w:r>
      <w:r>
        <w:rPr>
          <w:szCs w:val="20"/>
        </w:rPr>
        <w:t>lti nel processo produttivo industriale</w:t>
      </w:r>
      <w:r w:rsidR="002662EE">
        <w:rPr>
          <w:szCs w:val="20"/>
        </w:rPr>
        <w:t xml:space="preserve">: le zone di estrazione delle materie prime (come </w:t>
      </w:r>
      <w:r>
        <w:rPr>
          <w:szCs w:val="20"/>
        </w:rPr>
        <w:t>legname, carbone,</w:t>
      </w:r>
      <w:r w:rsidR="002662EE">
        <w:rPr>
          <w:szCs w:val="20"/>
        </w:rPr>
        <w:t xml:space="preserve"> ferro), le aree di produzione dell</w:t>
      </w:r>
      <w:r>
        <w:rPr>
          <w:szCs w:val="20"/>
        </w:rPr>
        <w:t>’</w:t>
      </w:r>
      <w:r w:rsidR="002662EE">
        <w:rPr>
          <w:szCs w:val="20"/>
        </w:rPr>
        <w:t>energia (centrali termoelettriche o idroelettriche), i centri o le linee più importanti di trasporto (</w:t>
      </w:r>
      <w:r w:rsidR="005A1D29">
        <w:rPr>
          <w:szCs w:val="20"/>
        </w:rPr>
        <w:t>porti o ferrovie), ed infine le residenze dei lavoratori e i servizi che servono alla loro vita (negozi, uffici ecc.).</w:t>
      </w:r>
    </w:p>
    <w:p w:rsidR="005A1D29" w:rsidRDefault="005A1D29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In questo modo la città cresce come un</w:t>
      </w:r>
      <w:r w:rsidR="006A33C0">
        <w:rPr>
          <w:szCs w:val="20"/>
        </w:rPr>
        <w:t>a</w:t>
      </w:r>
      <w:r>
        <w:rPr>
          <w:szCs w:val="20"/>
        </w:rPr>
        <w:t xml:space="preserve"> concentrazione di</w:t>
      </w:r>
      <w:r w:rsidR="006A33C0">
        <w:rPr>
          <w:szCs w:val="20"/>
        </w:rPr>
        <w:t xml:space="preserve"> attività e</w:t>
      </w:r>
      <w:r>
        <w:rPr>
          <w:szCs w:val="20"/>
        </w:rPr>
        <w:t xml:space="preserve"> popolazione</w:t>
      </w:r>
      <w:r w:rsidR="006A33C0">
        <w:rPr>
          <w:szCs w:val="20"/>
        </w:rPr>
        <w:t xml:space="preserve"> attorno ad un unico centro, la città industriale:</w:t>
      </w:r>
      <w:r>
        <w:rPr>
          <w:szCs w:val="20"/>
        </w:rPr>
        <w:t xml:space="preserve"> di conseguenza le campagne </w:t>
      </w:r>
      <w:r w:rsidR="006A33C0">
        <w:rPr>
          <w:szCs w:val="20"/>
        </w:rPr>
        <w:t>tendono a spopolarsi, la popolazione si sposta in città, e quest’ultima</w:t>
      </w:r>
      <w:r>
        <w:rPr>
          <w:szCs w:val="20"/>
        </w:rPr>
        <w:t xml:space="preserve"> industriale aumenta continuamente di dimensioni, </w:t>
      </w:r>
      <w:r w:rsidR="006A33C0">
        <w:rPr>
          <w:szCs w:val="20"/>
        </w:rPr>
        <w:t>sviluppandosi</w:t>
      </w:r>
      <w:r w:rsidR="001C2CAD">
        <w:rPr>
          <w:szCs w:val="20"/>
        </w:rPr>
        <w:t xml:space="preserve"> verticalmente con grattacieli ed alti condomini.</w:t>
      </w:r>
    </w:p>
    <w:p w:rsidR="000050DB" w:rsidRDefault="001C2CAD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Per rappresentare visivamente il modello della concentrazione, po</w:t>
      </w:r>
      <w:r w:rsidR="00884ABB">
        <w:rPr>
          <w:szCs w:val="20"/>
        </w:rPr>
        <w:t>ssiamo utilizzare questo schema, che illustra il passaggio dalla città alla concentrazione.</w:t>
      </w:r>
      <w:r w:rsidR="00FE54A5">
        <w:rPr>
          <w:szCs w:val="20"/>
        </w:rPr>
        <w:t xml:space="preserve"> Le frecce indicano i movimenti della popolazione dalla campagna verso la città industriale, che assorge manodopera e si ingrandisce.</w:t>
      </w:r>
    </w:p>
    <w:p w:rsidR="006A33C0" w:rsidRDefault="006A33C0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1C2CAD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oval id="_x0000_s1036" style="position:absolute;left:0;text-align:left;margin-left:340.8pt;margin-top:2.7pt;width:62.25pt;height:64.25pt;z-index:251667456"/>
        </w:pict>
      </w:r>
      <w:r>
        <w:rPr>
          <w:noProof/>
          <w:szCs w:val="20"/>
        </w:rPr>
        <w:pict>
          <v:oval id="_x0000_s1031" style="position:absolute;left:0;text-align:left;margin-left:68.55pt;margin-top:1.2pt;width:18.75pt;height:18.75pt;z-index:251662336"/>
        </w:pict>
      </w: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87.3pt;margin-top:12.95pt;width:25.5pt;height:18pt;z-index:251666432" o:connectortype="straight">
            <v:stroke endarrow="block"/>
          </v:shape>
        </w:pict>
      </w:r>
      <w:r>
        <w:rPr>
          <w:noProof/>
          <w:szCs w:val="20"/>
        </w:rPr>
        <w:pict>
          <v:shape id="_x0000_s1034" type="#_x0000_t32" style="position:absolute;left:0;text-align:left;margin-left:148.05pt;margin-top:19.95pt;width:9.75pt;height:5pt;flip:x;z-index:251665408" o:connectortype="straight">
            <v:stroke endarrow="block"/>
          </v:shape>
        </w:pict>
      </w:r>
      <w:r>
        <w:rPr>
          <w:noProof/>
          <w:szCs w:val="20"/>
        </w:rPr>
        <w:pict>
          <v:oval id="_x0000_s1028" style="position:absolute;left:0;text-align:left;margin-left:157.8pt;margin-top:7.7pt;width:11.25pt;height:12.25pt;z-index:251659264"/>
        </w:pict>
      </w:r>
      <w:r>
        <w:rPr>
          <w:noProof/>
          <w:szCs w:val="20"/>
        </w:rPr>
        <w:pict>
          <v:oval id="_x0000_s1027" style="position:absolute;left:0;text-align:left;margin-left:112.8pt;margin-top:19.95pt;width:40.5pt;height:38.25pt;z-index:251658240"/>
        </w:pict>
      </w:r>
      <w:r>
        <w:rPr>
          <w:noProof/>
          <w:szCs w:val="20"/>
        </w:rPr>
        <w:pict>
          <v:shape id="_x0000_s1032" type="#_x0000_t32" style="position:absolute;left:0;text-align:left;margin-left:126.3pt;margin-top:58.2pt;width:5.25pt;height:13.75pt;flip:y;z-index:251663360" o:connectortype="straight">
            <v:stroke endarrow="block"/>
          </v:shape>
        </w:pict>
      </w:r>
      <w:r>
        <w:rPr>
          <w:noProof/>
          <w:szCs w:val="20"/>
        </w:rPr>
        <w:pict>
          <v:oval id="_x0000_s1029" style="position:absolute;left:0;text-align:left;margin-left:169.05pt;margin-top:65.45pt;width:18.75pt;height:18.75pt;z-index:251660288"/>
        </w:pict>
      </w:r>
    </w:p>
    <w:p w:rsidR="006A33C0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229.8pt;margin-top:4.1pt;width:55.5pt;height:27pt;z-index:251677696"/>
        </w:pict>
      </w:r>
    </w:p>
    <w:p w:rsidR="006A33C0" w:rsidRDefault="006A33C0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6A33C0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shape id="_x0000_s1033" type="#_x0000_t32" style="position:absolute;left:0;text-align:left;margin-left:148.05pt;margin-top:6.6pt;width:24.75pt;height:11.25pt;flip:x y;z-index:251664384" o:connectortype="straight">
            <v:stroke endarrow="block"/>
          </v:shape>
        </w:pict>
      </w:r>
    </w:p>
    <w:p w:rsidR="006A33C0" w:rsidRDefault="00105E7E" w:rsidP="0091577E">
      <w:pPr>
        <w:overflowPunct w:val="0"/>
        <w:autoSpaceDE w:val="0"/>
        <w:autoSpaceDN w:val="0"/>
        <w:adjustRightInd w:val="0"/>
        <w:spacing w:line="276" w:lineRule="auto"/>
        <w:ind w:firstLine="567"/>
        <w:rPr>
          <w:szCs w:val="20"/>
        </w:rPr>
      </w:pPr>
      <w:r>
        <w:rPr>
          <w:noProof/>
          <w:szCs w:val="20"/>
        </w:rPr>
        <w:pict>
          <v:oval id="_x0000_s1030" style="position:absolute;left:0;text-align:left;margin-left:120.3pt;margin-top:8.5pt;width:11.25pt;height:12.25pt;z-index:251661312"/>
        </w:pict>
      </w:r>
    </w:p>
    <w:p w:rsidR="001C2CAD" w:rsidRDefault="001C2CAD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91577E" w:rsidRDefault="009157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071592" w:rsidRDefault="00071592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4B348B" w:rsidRDefault="00FE54A5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 xml:space="preserve">2. </w:t>
      </w:r>
      <w:r w:rsidR="0023185D" w:rsidRPr="0023185D">
        <w:rPr>
          <w:szCs w:val="20"/>
        </w:rPr>
        <w:t xml:space="preserve">Il </w:t>
      </w:r>
      <w:r w:rsidR="0023185D" w:rsidRPr="00FE54A5">
        <w:rPr>
          <w:szCs w:val="20"/>
        </w:rPr>
        <w:t>secondo stadio</w:t>
      </w:r>
      <w:r w:rsidR="0023185D" w:rsidRPr="0023185D">
        <w:rPr>
          <w:szCs w:val="20"/>
        </w:rPr>
        <w:t xml:space="preserve"> </w:t>
      </w:r>
      <w:r w:rsidR="005A1D29">
        <w:rPr>
          <w:szCs w:val="20"/>
        </w:rPr>
        <w:t>dello sviluppo della città viene chiamato dai geografi “</w:t>
      </w:r>
      <w:proofErr w:type="spellStart"/>
      <w:r w:rsidR="0023185D" w:rsidRPr="0023185D">
        <w:rPr>
          <w:szCs w:val="20"/>
        </w:rPr>
        <w:t>sub</w:t>
      </w:r>
      <w:r w:rsidR="005A1D29">
        <w:rPr>
          <w:szCs w:val="20"/>
        </w:rPr>
        <w:t>-</w:t>
      </w:r>
      <w:r w:rsidR="0023185D" w:rsidRPr="0023185D">
        <w:rPr>
          <w:szCs w:val="20"/>
        </w:rPr>
        <w:t>urbanízzazione</w:t>
      </w:r>
      <w:proofErr w:type="spellEnd"/>
      <w:r w:rsidR="005A1D29">
        <w:rPr>
          <w:szCs w:val="20"/>
        </w:rPr>
        <w:t>”</w:t>
      </w:r>
      <w:r w:rsidR="0023185D" w:rsidRPr="0023185D">
        <w:rPr>
          <w:szCs w:val="20"/>
        </w:rPr>
        <w:t>,</w:t>
      </w:r>
      <w:r w:rsidR="005A1D29">
        <w:rPr>
          <w:szCs w:val="20"/>
        </w:rPr>
        <w:t xml:space="preserve"> ed è un evoluzione del primo stadio che abbiamo studiato nel precedente paragrafo</w:t>
      </w:r>
      <w:r w:rsidR="004B348B">
        <w:rPr>
          <w:szCs w:val="20"/>
        </w:rPr>
        <w:t>: con questo termine si intende lo spostamento delle zone residenziali e delle industrie dal centro cittadino alla periferia, dove nascono zone industriali e artigianali</w:t>
      </w:r>
      <w:r w:rsidR="00884ABB">
        <w:rPr>
          <w:szCs w:val="20"/>
        </w:rPr>
        <w:t>,</w:t>
      </w:r>
      <w:r w:rsidR="004B348B">
        <w:rPr>
          <w:szCs w:val="20"/>
        </w:rPr>
        <w:t xml:space="preserve"> e i quartieri residenziali </w:t>
      </w:r>
      <w:r w:rsidR="004B348B">
        <w:rPr>
          <w:szCs w:val="20"/>
        </w:rPr>
        <w:lastRenderedPageBreak/>
        <w:t xml:space="preserve">dove abitano i lavoratori. Si tratta quindi di un processo opposto a quello che caratterizzava la concentrazione </w:t>
      </w:r>
      <w:r w:rsidR="00452343">
        <w:rPr>
          <w:szCs w:val="20"/>
        </w:rPr>
        <w:t>urbana, e che comincia a prendere forma dal 1950 in poi.</w:t>
      </w:r>
    </w:p>
    <w:p w:rsidR="004B348B" w:rsidRDefault="004B348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La sub-urbanizzazione può essere rappresentata con questo</w:t>
      </w:r>
      <w:r w:rsidR="00FE54A5">
        <w:rPr>
          <w:szCs w:val="20"/>
        </w:rPr>
        <w:t xml:space="preserve"> schema; le frecce indicano lo spostamento di imprese e manodopera verso le periferie.</w:t>
      </w:r>
    </w:p>
    <w:p w:rsidR="00071592" w:rsidRDefault="00071592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4B348B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oval id="_x0000_s1039" style="position:absolute;left:0;text-align:left;margin-left:382.8pt;margin-top:-12.35pt;width:46.5pt;height:45pt;z-index:251670528"/>
        </w:pict>
      </w:r>
    </w:p>
    <w:p w:rsidR="0091577E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shape id="_x0000_s1043" type="#_x0000_t32" style="position:absolute;left:0;text-align:left;margin-left:367.8pt;margin-top:9.3pt;width:15pt;height:7.5pt;flip:y;z-index:251674624" o:connectortype="straight">
            <v:stroke endarrow="block"/>
          </v:shape>
        </w:pict>
      </w:r>
      <w:r>
        <w:rPr>
          <w:noProof/>
          <w:szCs w:val="20"/>
        </w:rPr>
        <w:pict>
          <v:oval id="_x0000_s1038" style="position:absolute;left:0;text-align:left;margin-left:303.3pt;margin-top:4.8pt;width:71.25pt;height:71.25pt;z-index:251669504"/>
        </w:pict>
      </w:r>
      <w:r>
        <w:rPr>
          <w:noProof/>
          <w:szCs w:val="20"/>
        </w:rPr>
        <w:pict>
          <v:oval id="_x0000_s1040" style="position:absolute;left:0;text-align:left;margin-left:404.55pt;margin-top:65.55pt;width:36.75pt;height:36pt;z-index:251671552"/>
        </w:pict>
      </w:r>
      <w:r>
        <w:rPr>
          <w:noProof/>
          <w:szCs w:val="20"/>
        </w:rPr>
        <w:pict>
          <v:shape id="_x0000_s1044" type="#_x0000_t32" style="position:absolute;left:0;text-align:left;margin-left:367.8pt;margin-top:63.3pt;width:36.75pt;height:12.75pt;z-index:251675648" o:connectortype="straight">
            <v:stroke endarrow="block"/>
          </v:shape>
        </w:pict>
      </w:r>
      <w:r>
        <w:rPr>
          <w:noProof/>
          <w:szCs w:val="20"/>
        </w:rPr>
        <w:pict>
          <v:oval id="_x0000_s1037" style="position:absolute;left:0;text-align:left;margin-left:35.55pt;margin-top:9.3pt;width:71.25pt;height:71.25pt;z-index:251668480"/>
        </w:pict>
      </w:r>
    </w:p>
    <w:p w:rsidR="0091577E" w:rsidRDefault="009157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91577E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shape id="_x0000_s1041" type="#_x0000_t13" style="position:absolute;left:0;text-align:left;margin-left:165.3pt;margin-top:.8pt;width:57pt;height:30.75pt;z-index:251672576"/>
        </w:pict>
      </w:r>
    </w:p>
    <w:p w:rsidR="0091577E" w:rsidRDefault="009157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91577E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shape id="_x0000_s1045" type="#_x0000_t32" style="position:absolute;left:0;text-align:left;margin-left:289.8pt;margin-top:2.05pt;width:22.5pt;height:19.5pt;flip:x;z-index:251676672" o:connectortype="straight">
            <v:stroke endarrow="block"/>
          </v:shape>
        </w:pict>
      </w:r>
    </w:p>
    <w:p w:rsidR="0091577E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oval id="_x0000_s1042" style="position:absolute;left:0;text-align:left;margin-left:253.05pt;margin-top:1.2pt;width:36.75pt;height:36pt;z-index:251673600"/>
        </w:pict>
      </w:r>
    </w:p>
    <w:p w:rsidR="004B348B" w:rsidRDefault="004B348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91577E" w:rsidRDefault="009157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91577E" w:rsidRDefault="009157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4B348B" w:rsidRDefault="004B348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Le cause di questo cambiamento sono molte e intrecciate tra loro, ma possiamo individuare almeno tra grandi tipologie.</w:t>
      </w:r>
    </w:p>
    <w:p w:rsidR="005A1D29" w:rsidRDefault="004B348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 xml:space="preserve">Innanzitutto </w:t>
      </w:r>
      <w:r w:rsidR="005A1D29">
        <w:rPr>
          <w:szCs w:val="20"/>
        </w:rPr>
        <w:t>la città sviluppa nuove tecniche di trasporto (più efficienti e rapide), quando vengono create delle nuove infrastrutture (come autostrade, tangenziali o superstrade), ed infine quando vengono elaborati sistemi più funzionali di comunicazione a distanza (“telecomunicazioni”).</w:t>
      </w:r>
      <w:r w:rsidR="0091577E">
        <w:rPr>
          <w:szCs w:val="20"/>
        </w:rPr>
        <w:t xml:space="preserve"> </w:t>
      </w:r>
      <w:r w:rsidR="005A1D29">
        <w:rPr>
          <w:szCs w:val="20"/>
        </w:rPr>
        <w:t>Tutte queste innovazioni hanno l</w:t>
      </w:r>
      <w:r w:rsidR="001C2CAD">
        <w:rPr>
          <w:szCs w:val="20"/>
        </w:rPr>
        <w:t>’</w:t>
      </w:r>
      <w:r w:rsidR="005A1D29">
        <w:rPr>
          <w:szCs w:val="20"/>
        </w:rPr>
        <w:t>effetto di favorire gli spostamenti delle merci e della manodopera, che ora possono muoversi più velocemente e</w:t>
      </w:r>
      <w:r>
        <w:rPr>
          <w:szCs w:val="20"/>
        </w:rPr>
        <w:t xml:space="preserve"> soprattutto a costi più bassi.</w:t>
      </w:r>
    </w:p>
    <w:p w:rsidR="004B348B" w:rsidRDefault="004B348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In secondo luogo, con l</w:t>
      </w:r>
      <w:r w:rsidR="001C2CAD">
        <w:rPr>
          <w:szCs w:val="20"/>
        </w:rPr>
        <w:t>’</w:t>
      </w:r>
      <w:r>
        <w:rPr>
          <w:szCs w:val="20"/>
        </w:rPr>
        <w:t>aumento dei redditi degli operai, si diffonde la motorizzazione privata, ovvero la possibilità da parte dei lavoratori di spostarsi autonomamente utilizzando un proprio mezzo di trasporto. Ciò ha diverse conseguenze: i lavoratori tendono a spostarsi al di fuori dei centri cittadini, dove il costo della vita è più basso e i servizi sono più accessibili (basti pensare allo spazio per i parcheggi), e dove le condizioni di vita sono migliori e più tranquille.</w:t>
      </w:r>
    </w:p>
    <w:p w:rsidR="004B348B" w:rsidRDefault="004B348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 xml:space="preserve">In terzo luogo, cambia anche la tecnica di produzione industriale: le fabbriche adottano catene di montaggio sempre più complesse e hanno bisogno di magazzini o depositi di merci sempre più estesi. Conseguentemente cresce la domanda, da parte delle industrie, di spazi produttivi più ampi, </w:t>
      </w:r>
      <w:r w:rsidR="0091577E">
        <w:rPr>
          <w:szCs w:val="20"/>
        </w:rPr>
        <w:t xml:space="preserve">che si sviluppano </w:t>
      </w:r>
      <w:r>
        <w:rPr>
          <w:szCs w:val="20"/>
        </w:rPr>
        <w:t>in senso “orizzontale”</w:t>
      </w:r>
      <w:r w:rsidR="00452343">
        <w:rPr>
          <w:szCs w:val="20"/>
        </w:rPr>
        <w:t>: questo bisogno viene quindi soddisfatto con il trasferimento delle industrie dal centro della città verso la periferia</w:t>
      </w:r>
      <w:r w:rsidR="0091577E">
        <w:rPr>
          <w:szCs w:val="20"/>
        </w:rPr>
        <w:t>, che ha spazi più ampi</w:t>
      </w:r>
      <w:r w:rsidR="00452343">
        <w:rPr>
          <w:szCs w:val="20"/>
        </w:rPr>
        <w:t>. I centri cittadini quindi progressivamente si svuotano, e le industrie lasciano spazio ad attività di servizi, come il commercio o l</w:t>
      </w:r>
      <w:r w:rsidR="001C2CAD">
        <w:rPr>
          <w:szCs w:val="20"/>
        </w:rPr>
        <w:t>’</w:t>
      </w:r>
      <w:r w:rsidR="00452343">
        <w:rPr>
          <w:szCs w:val="20"/>
        </w:rPr>
        <w:t>amministrazione.</w:t>
      </w:r>
    </w:p>
    <w:p w:rsidR="005A1D29" w:rsidRDefault="00452343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In sintesi, con il processo di sub-urbanizzazione, sia i lavoratori che le industrie tendono a trasferirsi fuori dal centro della città, nelle cosiddette zone della “cintura urbana”, che hanno il vantaggio (sia per i lavoratori che per le imprese) di una vicinanza al centro, ma nello stesso tempo, grazie alla rete di trasporti più efficiente, di minori costi di alloggio e trasporto delle merci.</w:t>
      </w:r>
    </w:p>
    <w:p w:rsidR="0023185D" w:rsidRPr="0023185D" w:rsidRDefault="00452343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Con la fase della “sub-urbanizzazione”, le periferie e le cinture urbane crescono più velocemente dei quartieri centrali. In questo modo si produce una saldatura tra il centro della città e i comuni vicini: la campagna tende a scomparire, sostituita da un</w:t>
      </w:r>
      <w:r w:rsidR="001C2CAD">
        <w:rPr>
          <w:szCs w:val="20"/>
        </w:rPr>
        <w:t>’</w:t>
      </w:r>
      <w:r>
        <w:rPr>
          <w:szCs w:val="20"/>
        </w:rPr>
        <w:t>area diffusa di quartieri e attività, che prende il nome di “conurbazione”.</w:t>
      </w:r>
    </w:p>
    <w:p w:rsidR="000050DB" w:rsidRDefault="000050D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4B348B" w:rsidRDefault="004B348B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</w:p>
    <w:p w:rsidR="00DB1614" w:rsidRDefault="0023185D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23185D">
        <w:rPr>
          <w:szCs w:val="20"/>
        </w:rPr>
        <w:lastRenderedPageBreak/>
        <w:t xml:space="preserve">Il </w:t>
      </w:r>
      <w:r w:rsidRPr="0023185D">
        <w:rPr>
          <w:b/>
          <w:szCs w:val="20"/>
        </w:rPr>
        <w:t>terzo stadio</w:t>
      </w:r>
      <w:r w:rsidRPr="0023185D">
        <w:rPr>
          <w:szCs w:val="20"/>
        </w:rPr>
        <w:t xml:space="preserve"> </w:t>
      </w:r>
      <w:r w:rsidRPr="0023185D">
        <w:rPr>
          <w:szCs w:val="20"/>
        </w:rPr>
        <w:noBreakHyphen/>
        <w:t xml:space="preserve"> che oggi è in atto ormai ovunque nel mondo sviluppato occidentale </w:t>
      </w:r>
      <w:r w:rsidRPr="0023185D">
        <w:rPr>
          <w:szCs w:val="20"/>
        </w:rPr>
        <w:noBreakHyphen/>
        <w:t xml:space="preserve"> è quello detto della «de</w:t>
      </w:r>
      <w:r w:rsidR="009B6313">
        <w:rPr>
          <w:szCs w:val="20"/>
        </w:rPr>
        <w:t>-</w:t>
      </w:r>
      <w:r w:rsidRPr="0023185D">
        <w:rPr>
          <w:szCs w:val="20"/>
        </w:rPr>
        <w:t>urbanizzazione» o del «decentramento urbano»</w:t>
      </w:r>
      <w:r w:rsidR="009B6313">
        <w:rPr>
          <w:szCs w:val="20"/>
        </w:rPr>
        <w:t>.</w:t>
      </w:r>
      <w:r w:rsidR="00DB1614">
        <w:rPr>
          <w:szCs w:val="20"/>
        </w:rPr>
        <w:t xml:space="preserve"> </w:t>
      </w:r>
      <w:r w:rsidRPr="0023185D">
        <w:rPr>
          <w:szCs w:val="20"/>
        </w:rPr>
        <w:t>E</w:t>
      </w:r>
      <w:r w:rsidR="001C2CAD">
        <w:rPr>
          <w:szCs w:val="20"/>
        </w:rPr>
        <w:t>’</w:t>
      </w:r>
      <w:r w:rsidRPr="0023185D">
        <w:rPr>
          <w:szCs w:val="20"/>
        </w:rPr>
        <w:t xml:space="preserve"> lo stadio in cui entra in crisi </w:t>
      </w:r>
      <w:r w:rsidR="009B6313">
        <w:rPr>
          <w:szCs w:val="20"/>
        </w:rPr>
        <w:t>il modello della sub-urbanizzazione e la città comincia a svilupparsi in</w:t>
      </w:r>
      <w:r w:rsidR="00DB1614">
        <w:rPr>
          <w:szCs w:val="20"/>
        </w:rPr>
        <w:t xml:space="preserve"> modo completamente differente.</w:t>
      </w:r>
    </w:p>
    <w:p w:rsidR="009B6313" w:rsidRDefault="00DB1614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Negli ultimi due decenni</w:t>
      </w:r>
      <w:r w:rsidR="009B6313">
        <w:rPr>
          <w:szCs w:val="20"/>
        </w:rPr>
        <w:t xml:space="preserve">, anche lo spostamento in periferia delle industrie e della manodopera esaurisce lo spazio a disposizione: diventa quindi </w:t>
      </w:r>
      <w:r w:rsidR="0023185D" w:rsidRPr="0023185D">
        <w:rPr>
          <w:szCs w:val="20"/>
        </w:rPr>
        <w:t>sempre più difficile rispondere alla domanda di spazio per fabbriche, per depositi, per residenze, per il traffico</w:t>
      </w:r>
      <w:r w:rsidR="009B6313">
        <w:rPr>
          <w:szCs w:val="20"/>
        </w:rPr>
        <w:t>,</w:t>
      </w:r>
      <w:r w:rsidR="0023185D" w:rsidRPr="0023185D">
        <w:rPr>
          <w:szCs w:val="20"/>
        </w:rPr>
        <w:t xml:space="preserve"> per i relativi parcheggi, per il ve</w:t>
      </w:r>
      <w:r w:rsidR="009B6313">
        <w:rPr>
          <w:szCs w:val="20"/>
        </w:rPr>
        <w:t>rde e per i servizi collettivi. I vantaggi che presentava la sub-urbanizzazione adesso spariscono.</w:t>
      </w:r>
    </w:p>
    <w:p w:rsidR="009B6313" w:rsidRDefault="009B6313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Inoltre, con l</w:t>
      </w:r>
      <w:r w:rsidR="001C2CAD">
        <w:rPr>
          <w:szCs w:val="20"/>
        </w:rPr>
        <w:t>’</w:t>
      </w:r>
      <w:r>
        <w:rPr>
          <w:szCs w:val="20"/>
        </w:rPr>
        <w:t>aumentare del reddito della popolazione residente nelle periferie, aumenta anche una richiesta di qualità ambientale e di stile di vita, che nelle periferie manca, a causa della scarsa qualità dell</w:t>
      </w:r>
      <w:r w:rsidR="001C2CAD">
        <w:rPr>
          <w:szCs w:val="20"/>
        </w:rPr>
        <w:t>’</w:t>
      </w:r>
      <w:r>
        <w:rPr>
          <w:szCs w:val="20"/>
        </w:rPr>
        <w:t>aria e della mancanza di spazi verdi.</w:t>
      </w:r>
    </w:p>
    <w:p w:rsidR="009B6313" w:rsidRDefault="009B6313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Conseguenza di questi due aspetti è la ricerca di nuovi spazi sia per gli insediamenti produttivi che per quelli residenziali: anziché spostarsi verso la periferia della città (come accadeva nel secondo stadio), industrie e lavoratori si spostano verso centri più piccoli, separati diversi chilometri dalle città e dalle periferie urbane, dove il contesto di vita è più attraente e vivibile.</w:t>
      </w:r>
    </w:p>
    <w:p w:rsidR="009B6313" w:rsidRDefault="00DB1614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Ciò avviene anche a causa di un mutamento dell</w:t>
      </w:r>
      <w:r w:rsidR="001C2CAD">
        <w:rPr>
          <w:szCs w:val="20"/>
        </w:rPr>
        <w:t>’</w:t>
      </w:r>
      <w:r>
        <w:rPr>
          <w:szCs w:val="20"/>
        </w:rPr>
        <w:t>industria. Negli ultimi anni infatti sono almeno due i fattori di natura economica che hanno portato a questa nuova fase: da una parte l</w:t>
      </w:r>
      <w:r w:rsidR="001C2CAD">
        <w:rPr>
          <w:szCs w:val="20"/>
        </w:rPr>
        <w:t>’</w:t>
      </w:r>
      <w:r>
        <w:rPr>
          <w:szCs w:val="20"/>
        </w:rPr>
        <w:t>impiego di tecnologie informatiche e lo sviluppo del terziario avanzato hanno neutralizzato gli spostamenti fisici dei servizi (banche, finanza, pubblicità); dall</w:t>
      </w:r>
      <w:r w:rsidR="001C2CAD">
        <w:rPr>
          <w:szCs w:val="20"/>
        </w:rPr>
        <w:t>’</w:t>
      </w:r>
      <w:r>
        <w:rPr>
          <w:szCs w:val="20"/>
        </w:rPr>
        <w:t>altra, cominciano a prevalere le industrie di piccole dimensioni, in quanto le grandi industrie tradizionali si spostano all</w:t>
      </w:r>
      <w:r w:rsidR="001C2CAD">
        <w:rPr>
          <w:szCs w:val="20"/>
        </w:rPr>
        <w:t>’</w:t>
      </w:r>
      <w:r>
        <w:rPr>
          <w:szCs w:val="20"/>
        </w:rPr>
        <w:t>estero (questo fenomeno viene chiamato “delocalizzazione”) per ridurre i costi di produzione.</w:t>
      </w:r>
    </w:p>
    <w:p w:rsidR="00DB1614" w:rsidRDefault="00DB1614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A causa di questi due fattori, si perde la necessità di concentrare in uno spazio unico (o in spazi vicini) le imprese e la manodopera: spesso le aziende, grazie alle nuove tecnologia di telecomunicazione, possono avere gli impianti di produzione a molti chilometri di distanza dagli uffici di direzione.</w:t>
      </w:r>
    </w:p>
    <w:p w:rsidR="00DB1614" w:rsidRDefault="00DB1614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>In sintesi, quindi, le piccole e le grandi imprese non hanno più bisogno di una collocazione urbana o sub-urbana, caratteristica dei primi due stati dell</w:t>
      </w:r>
      <w:r w:rsidR="001C2CAD">
        <w:rPr>
          <w:szCs w:val="20"/>
        </w:rPr>
        <w:t>’</w:t>
      </w:r>
      <w:r>
        <w:rPr>
          <w:szCs w:val="20"/>
        </w:rPr>
        <w:t>urbanizzazione. Viceversa, in qualche caso diventa più conveniente localizzare le imprese nelle aree rurali, che offrono condizioni di accessibilità rapide, servizi efficienti e un ambiente più salubre.</w:t>
      </w:r>
    </w:p>
    <w:p w:rsidR="00F163AE" w:rsidRDefault="00DB1614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 xml:space="preserve">Di conseguenza </w:t>
      </w:r>
      <w:r w:rsidR="0023185D" w:rsidRPr="0023185D">
        <w:rPr>
          <w:szCs w:val="20"/>
        </w:rPr>
        <w:t xml:space="preserve">la distinzione fra città e </w:t>
      </w:r>
      <w:r>
        <w:rPr>
          <w:szCs w:val="20"/>
        </w:rPr>
        <w:t>campagna sfuma progressivamente: la città non ha più un unico centro (“concentrazione”) attorno al quale si sviluppano altri centri residenziali e industriali (“sub-urbanizzazione), ma ha al contrario molti centri: per questo si parla di una urbanizzazione “policentrica”, in cui molti centri costituiscono una “rete” di città senza che ci sia un centro prevalente.</w:t>
      </w:r>
    </w:p>
    <w:p w:rsidR="0023185D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oval id="_x0000_s1051" style="position:absolute;left:0;text-align:left;margin-left:413.55pt;margin-top:45.35pt;width:33pt;height:31.5pt;z-index:251682816"/>
        </w:pict>
      </w:r>
      <w:r w:rsidR="00F163AE">
        <w:rPr>
          <w:szCs w:val="20"/>
        </w:rPr>
        <w:t>Le aree di decentramento si chiamano “aree metropolitane policentriche”, che si sono sviluppate in modo particolare negli ultimi decenni nell</w:t>
      </w:r>
      <w:r w:rsidR="001C2CAD">
        <w:rPr>
          <w:szCs w:val="20"/>
        </w:rPr>
        <w:t>’</w:t>
      </w:r>
      <w:r w:rsidR="00F163AE">
        <w:rPr>
          <w:szCs w:val="20"/>
        </w:rPr>
        <w:t>Italia centro-settentrionale.</w:t>
      </w:r>
      <w:r w:rsidR="004E5ECE">
        <w:rPr>
          <w:szCs w:val="20"/>
        </w:rPr>
        <w:t xml:space="preserve"> Uno schema che le può rappresentare visivamente è il seguente:</w:t>
      </w:r>
    </w:p>
    <w:p w:rsidR="00071592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oval id="_x0000_s1048" style="position:absolute;left:0;text-align:left;margin-left:275.55pt;margin-top:6.25pt;width:53.25pt;height:48.5pt;z-index:251679744"/>
        </w:pict>
      </w:r>
    </w:p>
    <w:p w:rsidR="00071592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shape id="_x0000_s1060" type="#_x0000_t32" style="position:absolute;left:0;text-align:left;margin-left:425.55pt;margin-top:13.4pt;width:5.25pt;height:48.5pt;flip:x;z-index:251692032" o:connectortype="straight"/>
        </w:pict>
      </w:r>
      <w:r>
        <w:rPr>
          <w:noProof/>
          <w:szCs w:val="20"/>
        </w:rPr>
        <w:pict>
          <v:shape id="_x0000_s1059" type="#_x0000_t32" style="position:absolute;left:0;text-align:left;margin-left:328.8pt;margin-top:1.15pt;width:84.75pt;height:6pt;flip:y;z-index:251691008" o:connectortype="straight"/>
        </w:pict>
      </w:r>
      <w:r>
        <w:rPr>
          <w:noProof/>
          <w:szCs w:val="20"/>
        </w:rPr>
        <w:pict>
          <v:oval id="_x0000_s1047" style="position:absolute;left:0;text-align:left;margin-left:77.55pt;margin-top:13.4pt;width:53.25pt;height:48.5pt;z-index:251678720"/>
        </w:pict>
      </w:r>
    </w:p>
    <w:p w:rsidR="00071592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shape id="_x0000_s1058" type="#_x0000_t32" style="position:absolute;left:0;text-align:left;margin-left:328.8pt;margin-top:10.75pt;width:71.25pt;height:42.75pt;z-index:251689984" o:connectortype="straight"/>
        </w:pict>
      </w:r>
      <w:r>
        <w:rPr>
          <w:noProof/>
          <w:szCs w:val="20"/>
        </w:rPr>
        <w:pict>
          <v:shape id="_x0000_s1057" type="#_x0000_t32" style="position:absolute;left:0;text-align:left;margin-left:130.8pt;margin-top:2.5pt;width:144.75pt;height:14.25pt;flip:y;z-index:251688960" o:connectortype="straight"/>
        </w:pict>
      </w:r>
    </w:p>
    <w:p w:rsidR="00071592" w:rsidRPr="004E5ECE" w:rsidRDefault="00105E7E" w:rsidP="004E5ECE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>
        <w:rPr>
          <w:noProof/>
          <w:szCs w:val="20"/>
        </w:rPr>
        <w:pict>
          <v:shape id="_x0000_s1070" type="#_x0000_t32" style="position:absolute;left:0;text-align:left;margin-left:238.8pt;margin-top:37.65pt;width:82.5pt;height:12pt;z-index:251702272" o:connectortype="straight"/>
        </w:pict>
      </w:r>
      <w:r>
        <w:rPr>
          <w:noProof/>
          <w:szCs w:val="20"/>
        </w:rPr>
        <w:pict>
          <v:shape id="_x0000_s1069" type="#_x0000_t32" style="position:absolute;left:0;text-align:left;margin-left:130.8pt;margin-top:14.4pt;width:86.25pt;height:15.75pt;z-index:251701248" o:connectortype="straight"/>
        </w:pict>
      </w:r>
      <w:r>
        <w:rPr>
          <w:noProof/>
          <w:szCs w:val="20"/>
        </w:rPr>
        <w:pict>
          <v:shape id="_x0000_s1068" type="#_x0000_t32" style="position:absolute;left:0;text-align:left;margin-left:238.8pt;margin-top:.9pt;width:36.75pt;height:21.75pt;flip:x;z-index:251700224" o:connectortype="straight"/>
        </w:pict>
      </w:r>
      <w:r>
        <w:rPr>
          <w:noProof/>
          <w:szCs w:val="20"/>
        </w:rPr>
        <w:pict>
          <v:shape id="_x0000_s1067" type="#_x0000_t32" style="position:absolute;left:0;text-align:left;margin-left:313.05pt;margin-top:7.15pt;width:15.75pt;height:35pt;z-index:251699200" o:connectortype="straight"/>
        </w:pict>
      </w:r>
      <w:r>
        <w:rPr>
          <w:noProof/>
          <w:szCs w:val="20"/>
        </w:rPr>
        <w:pict>
          <v:shape id="_x0000_s1066" type="#_x0000_t32" style="position:absolute;left:0;text-align:left;margin-left:346.8pt;margin-top:54.9pt;width:46.5pt;height:0;z-index:251698176" o:connectortype="straight"/>
        </w:pict>
      </w:r>
      <w:r>
        <w:rPr>
          <w:noProof/>
          <w:szCs w:val="20"/>
        </w:rPr>
        <w:pict>
          <v:shape id="_x0000_s1065" type="#_x0000_t32" style="position:absolute;left:0;text-align:left;margin-left:208.8pt;margin-top:60.9pt;width:112.5pt;height:27.75pt;flip:y;z-index:251697152" o:connectortype="straight"/>
        </w:pict>
      </w:r>
      <w:r>
        <w:rPr>
          <w:noProof/>
          <w:szCs w:val="20"/>
        </w:rPr>
        <w:pict>
          <v:shape id="_x0000_s1064" type="#_x0000_t32" style="position:absolute;left:0;text-align:left;margin-left:124.05pt;margin-top:78.65pt;width:51.75pt;height:10pt;z-index:251696128" o:connectortype="straight"/>
        </w:pict>
      </w:r>
      <w:r>
        <w:rPr>
          <w:noProof/>
          <w:szCs w:val="20"/>
        </w:rPr>
        <w:pict>
          <v:shape id="_x0000_s1063" type="#_x0000_t32" style="position:absolute;left:0;text-align:left;margin-left:32.55pt;margin-top:18.9pt;width:45pt;height:23.25pt;flip:y;z-index:251695104" o:connectortype="straight"/>
        </w:pict>
      </w:r>
      <w:r>
        <w:rPr>
          <w:noProof/>
          <w:szCs w:val="20"/>
        </w:rPr>
        <w:pict>
          <v:shape id="_x0000_s1062" type="#_x0000_t32" style="position:absolute;left:0;text-align:left;margin-left:32.55pt;margin-top:54.9pt;width:69.75pt;height:18.75pt;z-index:251694080" o:connectortype="straight"/>
        </w:pict>
      </w:r>
      <w:r>
        <w:rPr>
          <w:noProof/>
          <w:szCs w:val="20"/>
        </w:rPr>
        <w:pict>
          <v:shape id="_x0000_s1061" type="#_x0000_t32" style="position:absolute;left:0;text-align:left;margin-left:202.05pt;margin-top:42.15pt;width:19.5pt;height:31.5pt;flip:x;z-index:251693056" o:connectortype="straight"/>
        </w:pict>
      </w:r>
      <w:r>
        <w:rPr>
          <w:noProof/>
          <w:szCs w:val="20"/>
        </w:rPr>
        <w:pict>
          <v:shape id="_x0000_s1056" type="#_x0000_t32" style="position:absolute;left:0;text-align:left;margin-left:106.05pt;margin-top:30.15pt;width:5.25pt;height:35.25pt;z-index:251687936" o:connectortype="straight"/>
        </w:pict>
      </w:r>
      <w:r>
        <w:rPr>
          <w:noProof/>
          <w:szCs w:val="20"/>
        </w:rPr>
        <w:pict>
          <v:oval id="_x0000_s1055" style="position:absolute;left:0;text-align:left;margin-left:10.8pt;margin-top:37.65pt;width:21.75pt;height:23.25pt;z-index:251686912"/>
        </w:pict>
      </w:r>
      <w:r>
        <w:rPr>
          <w:noProof/>
          <w:szCs w:val="20"/>
        </w:rPr>
        <w:pict>
          <v:oval id="_x0000_s1054" style="position:absolute;left:0;text-align:left;margin-left:102.3pt;margin-top:65.4pt;width:21.75pt;height:23.25pt;z-index:251685888"/>
        </w:pict>
      </w:r>
      <w:r>
        <w:rPr>
          <w:noProof/>
          <w:szCs w:val="20"/>
        </w:rPr>
        <w:pict>
          <v:oval id="_x0000_s1053" style="position:absolute;left:0;text-align:left;margin-left:217.05pt;margin-top:18.9pt;width:21.75pt;height:23.25pt;z-index:251684864"/>
        </w:pict>
      </w:r>
      <w:r>
        <w:rPr>
          <w:noProof/>
          <w:szCs w:val="20"/>
        </w:rPr>
        <w:pict>
          <v:oval id="_x0000_s1050" style="position:absolute;left:0;text-align:left;margin-left:175.8pt;margin-top:73.65pt;width:33pt;height:31.5pt;z-index:251681792"/>
        </w:pict>
      </w:r>
      <w:r>
        <w:rPr>
          <w:noProof/>
          <w:szCs w:val="20"/>
        </w:rPr>
        <w:pict>
          <v:oval id="_x0000_s1052" style="position:absolute;left:0;text-align:left;margin-left:321.3pt;margin-top:42.15pt;width:25.5pt;height:23.25pt;z-index:251683840"/>
        </w:pict>
      </w:r>
      <w:r>
        <w:rPr>
          <w:noProof/>
          <w:szCs w:val="20"/>
        </w:rPr>
        <w:pict>
          <v:oval id="_x0000_s1049" style="position:absolute;left:0;text-align:left;margin-left:393.3pt;margin-top:30.15pt;width:53.25pt;height:48.5pt;z-index:251680768"/>
        </w:pict>
      </w:r>
    </w:p>
    <w:sectPr w:rsidR="00071592" w:rsidRPr="004E5ECE" w:rsidSect="00222C3D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6E" w:rsidRDefault="00074A6E">
      <w:r>
        <w:separator/>
      </w:r>
    </w:p>
  </w:endnote>
  <w:endnote w:type="continuationSeparator" w:id="0">
    <w:p w:rsidR="00074A6E" w:rsidRDefault="0007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5D" w:rsidRDefault="00105E7E" w:rsidP="002318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318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185D" w:rsidRDefault="0023185D" w:rsidP="002318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5D" w:rsidRDefault="00105E7E" w:rsidP="002318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318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54A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185D" w:rsidRDefault="0023185D" w:rsidP="002318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6E" w:rsidRDefault="00074A6E">
      <w:r>
        <w:separator/>
      </w:r>
    </w:p>
  </w:footnote>
  <w:footnote w:type="continuationSeparator" w:id="0">
    <w:p w:rsidR="00074A6E" w:rsidRDefault="0007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0EE"/>
    <w:multiLevelType w:val="hybridMultilevel"/>
    <w:tmpl w:val="463E04C2"/>
    <w:lvl w:ilvl="0" w:tplc="DE2847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30292"/>
    <w:multiLevelType w:val="multilevel"/>
    <w:tmpl w:val="2ED2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77A25E5F"/>
    <w:multiLevelType w:val="hybridMultilevel"/>
    <w:tmpl w:val="38BC143A"/>
    <w:lvl w:ilvl="0" w:tplc="DE2847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5D"/>
    <w:rsid w:val="000050DB"/>
    <w:rsid w:val="000200AD"/>
    <w:rsid w:val="000466B1"/>
    <w:rsid w:val="00071592"/>
    <w:rsid w:val="00074A6E"/>
    <w:rsid w:val="00102E4F"/>
    <w:rsid w:val="00105E7E"/>
    <w:rsid w:val="00106076"/>
    <w:rsid w:val="001C2CAD"/>
    <w:rsid w:val="001E0F98"/>
    <w:rsid w:val="00222C3D"/>
    <w:rsid w:val="0023185D"/>
    <w:rsid w:val="002662EE"/>
    <w:rsid w:val="002B336F"/>
    <w:rsid w:val="003674B6"/>
    <w:rsid w:val="00370664"/>
    <w:rsid w:val="00376B46"/>
    <w:rsid w:val="003D62D4"/>
    <w:rsid w:val="003F0B1E"/>
    <w:rsid w:val="003F6012"/>
    <w:rsid w:val="004507C8"/>
    <w:rsid w:val="00452343"/>
    <w:rsid w:val="00477243"/>
    <w:rsid w:val="004B348B"/>
    <w:rsid w:val="004E5ECE"/>
    <w:rsid w:val="005038F3"/>
    <w:rsid w:val="005057DD"/>
    <w:rsid w:val="0053618B"/>
    <w:rsid w:val="00562201"/>
    <w:rsid w:val="0058183D"/>
    <w:rsid w:val="005A1D29"/>
    <w:rsid w:val="005D21B1"/>
    <w:rsid w:val="005E642C"/>
    <w:rsid w:val="00687152"/>
    <w:rsid w:val="006A33C0"/>
    <w:rsid w:val="006D2688"/>
    <w:rsid w:val="007B7A76"/>
    <w:rsid w:val="007E0BD8"/>
    <w:rsid w:val="00811E1E"/>
    <w:rsid w:val="00871DF3"/>
    <w:rsid w:val="00884ABB"/>
    <w:rsid w:val="008976FB"/>
    <w:rsid w:val="008A6E2B"/>
    <w:rsid w:val="008E5651"/>
    <w:rsid w:val="00901177"/>
    <w:rsid w:val="0091577E"/>
    <w:rsid w:val="0095035B"/>
    <w:rsid w:val="0097473C"/>
    <w:rsid w:val="00983D71"/>
    <w:rsid w:val="0099181B"/>
    <w:rsid w:val="009B6313"/>
    <w:rsid w:val="00A70151"/>
    <w:rsid w:val="00B05DC9"/>
    <w:rsid w:val="00B67B23"/>
    <w:rsid w:val="00BD1728"/>
    <w:rsid w:val="00C30A36"/>
    <w:rsid w:val="00CF0948"/>
    <w:rsid w:val="00D90A1B"/>
    <w:rsid w:val="00DA5321"/>
    <w:rsid w:val="00DB1614"/>
    <w:rsid w:val="00DF185B"/>
    <w:rsid w:val="00E55E83"/>
    <w:rsid w:val="00EB4004"/>
    <w:rsid w:val="00EF063F"/>
    <w:rsid w:val="00F163AE"/>
    <w:rsid w:val="00F52A91"/>
    <w:rsid w:val="00F85200"/>
    <w:rsid w:val="00F96BBC"/>
    <w:rsid w:val="00FC73F4"/>
    <w:rsid w:val="00F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3" type="connector" idref="#_x0000_s1064"/>
        <o:r id="V:Rule24" type="connector" idref="#_x0000_s1063"/>
        <o:r id="V:Rule25" type="connector" idref="#_x0000_s1065"/>
        <o:r id="V:Rule26" type="connector" idref="#_x0000_s1057"/>
        <o:r id="V:Rule27" type="connector" idref="#_x0000_s1062"/>
        <o:r id="V:Rule28" type="connector" idref="#_x0000_s1066"/>
        <o:r id="V:Rule29" type="connector" idref="#_x0000_s1069"/>
        <o:r id="V:Rule30" type="connector" idref="#_x0000_s1033"/>
        <o:r id="V:Rule31" type="connector" idref="#_x0000_s1058"/>
        <o:r id="V:Rule32" type="connector" idref="#_x0000_s1043"/>
        <o:r id="V:Rule33" type="connector" idref="#_x0000_s1059"/>
        <o:r id="V:Rule34" type="connector" idref="#_x0000_s1034"/>
        <o:r id="V:Rule35" type="connector" idref="#_x0000_s1068"/>
        <o:r id="V:Rule36" type="connector" idref="#_x0000_s1044"/>
        <o:r id="V:Rule37" type="connector" idref="#_x0000_s1061"/>
        <o:r id="V:Rule38" type="connector" idref="#_x0000_s1035"/>
        <o:r id="V:Rule39" type="connector" idref="#_x0000_s1056"/>
        <o:r id="V:Rule40" type="connector" idref="#_x0000_s1032"/>
        <o:r id="V:Rule41" type="connector" idref="#_x0000_s1070"/>
        <o:r id="V:Rule42" type="connector" idref="#_x0000_s1045"/>
        <o:r id="V:Rule43" type="connector" idref="#_x0000_s1067"/>
        <o:r id="V:Rule4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2C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85D"/>
    <w:pPr>
      <w:keepNext/>
      <w:ind w:firstLine="567"/>
      <w:outlineLvl w:val="0"/>
    </w:pPr>
    <w:rPr>
      <w:rFonts w:ascii="Arial" w:hAnsi="Arial" w:cs="Arial"/>
      <w:szCs w:val="20"/>
    </w:rPr>
  </w:style>
  <w:style w:type="paragraph" w:styleId="Titolo2">
    <w:name w:val="heading 2"/>
    <w:basedOn w:val="Normale"/>
    <w:next w:val="Normale"/>
    <w:qFormat/>
    <w:rsid w:val="0023185D"/>
    <w:pPr>
      <w:keepNext/>
      <w:outlineLvl w:val="1"/>
    </w:pPr>
    <w:rPr>
      <w:rFonts w:ascii="Arial" w:hAnsi="Arial" w:cs="Arial"/>
      <w:b/>
      <w:bCs/>
      <w:i/>
      <w:iCs/>
      <w:szCs w:val="20"/>
      <w:lang w:val="en-US"/>
    </w:rPr>
  </w:style>
  <w:style w:type="paragraph" w:styleId="Titolo3">
    <w:name w:val="heading 3"/>
    <w:basedOn w:val="Normale"/>
    <w:next w:val="Normale"/>
    <w:qFormat/>
    <w:rsid w:val="0023185D"/>
    <w:pPr>
      <w:keepNext/>
      <w:jc w:val="center"/>
      <w:outlineLvl w:val="2"/>
    </w:pPr>
    <w:rPr>
      <w:rFonts w:ascii="Arial" w:hAnsi="Arial" w:cs="Arial"/>
      <w:i/>
      <w:i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3185D"/>
    <w:rPr>
      <w:color w:val="000000"/>
      <w:u w:val="single"/>
    </w:rPr>
  </w:style>
  <w:style w:type="paragraph" w:styleId="Testonotaapidipagina">
    <w:name w:val="footnote text"/>
    <w:basedOn w:val="Normale"/>
    <w:rsid w:val="0023185D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23185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Corpodeltesto">
    <w:name w:val="Body Text"/>
    <w:basedOn w:val="Normale"/>
    <w:rsid w:val="0023185D"/>
    <w:pPr>
      <w:overflowPunct w:val="0"/>
      <w:autoSpaceDE w:val="0"/>
      <w:autoSpaceDN w:val="0"/>
      <w:adjustRightInd w:val="0"/>
    </w:pPr>
    <w:rPr>
      <w:szCs w:val="20"/>
    </w:rPr>
  </w:style>
  <w:style w:type="character" w:styleId="Rimandonotaapidipagina">
    <w:name w:val="footnote reference"/>
    <w:basedOn w:val="Carpredefinitoparagrafo"/>
    <w:rsid w:val="0023185D"/>
    <w:rPr>
      <w:vertAlign w:val="superscript"/>
    </w:rPr>
  </w:style>
  <w:style w:type="paragraph" w:styleId="Pidipagina">
    <w:name w:val="footer"/>
    <w:basedOn w:val="Normale"/>
    <w:rsid w:val="0023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185D"/>
  </w:style>
  <w:style w:type="paragraph" w:customStyle="1" w:styleId="Corpodeltesto21">
    <w:name w:val="Corpo del testo 21"/>
    <w:basedOn w:val="Normale"/>
    <w:rsid w:val="0023185D"/>
    <w:pPr>
      <w:overflowPunct w:val="0"/>
      <w:autoSpaceDE w:val="0"/>
      <w:autoSpaceDN w:val="0"/>
      <w:adjustRightInd w:val="0"/>
      <w:ind w:firstLine="720"/>
    </w:pPr>
    <w:rPr>
      <w:szCs w:val="20"/>
    </w:rPr>
  </w:style>
  <w:style w:type="paragraph" w:customStyle="1" w:styleId="Rientrocorpodeltesto21">
    <w:name w:val="Rientro corpo del testo 21"/>
    <w:basedOn w:val="Normale"/>
    <w:rsid w:val="0023185D"/>
    <w:pPr>
      <w:overflowPunct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Rientrocorpodeltesto">
    <w:name w:val="Body Text Indent"/>
    <w:basedOn w:val="Normale"/>
    <w:rsid w:val="0023185D"/>
    <w:pPr>
      <w:spacing w:after="120"/>
      <w:ind w:left="283"/>
    </w:pPr>
  </w:style>
  <w:style w:type="paragraph" w:styleId="Rientrocorpodeltesto2">
    <w:name w:val="Body Text Indent 2"/>
    <w:basedOn w:val="Normale"/>
    <w:rsid w:val="0023185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23185D"/>
    <w:pPr>
      <w:spacing w:after="120"/>
      <w:ind w:left="283"/>
    </w:pPr>
    <w:rPr>
      <w:sz w:val="16"/>
      <w:szCs w:val="16"/>
    </w:rPr>
  </w:style>
  <w:style w:type="paragraph" w:customStyle="1" w:styleId="OmniPage3">
    <w:name w:val="OmniPage #3"/>
    <w:basedOn w:val="Normale"/>
    <w:rsid w:val="0023185D"/>
    <w:pPr>
      <w:tabs>
        <w:tab w:val="left" w:pos="645"/>
        <w:tab w:val="left" w:pos="975"/>
        <w:tab w:val="left" w:pos="4770"/>
        <w:tab w:val="left" w:pos="5100"/>
        <w:tab w:val="right" w:pos="9041"/>
      </w:tabs>
      <w:overflowPunct w:val="0"/>
      <w:autoSpaceDE w:val="0"/>
      <w:autoSpaceDN w:val="0"/>
      <w:adjustRightInd w:val="0"/>
      <w:ind w:left="375"/>
    </w:pPr>
    <w:rPr>
      <w:sz w:val="20"/>
      <w:szCs w:val="20"/>
    </w:rPr>
  </w:style>
  <w:style w:type="paragraph" w:customStyle="1" w:styleId="OmniPage4">
    <w:name w:val="OmniPage #4"/>
    <w:basedOn w:val="Normale"/>
    <w:rsid w:val="0023185D"/>
    <w:pPr>
      <w:tabs>
        <w:tab w:val="right" w:pos="9041"/>
      </w:tabs>
      <w:overflowPunct w:val="0"/>
      <w:autoSpaceDE w:val="0"/>
      <w:autoSpaceDN w:val="0"/>
      <w:adjustRightInd w:val="0"/>
      <w:ind w:left="915" w:hanging="60"/>
    </w:pPr>
    <w:rPr>
      <w:sz w:val="20"/>
      <w:szCs w:val="20"/>
    </w:rPr>
  </w:style>
  <w:style w:type="paragraph" w:customStyle="1" w:styleId="OmniPage13">
    <w:name w:val="OmniPage #13"/>
    <w:basedOn w:val="Normale"/>
    <w:rsid w:val="0023185D"/>
    <w:pPr>
      <w:overflowPunct w:val="0"/>
      <w:autoSpaceDE w:val="0"/>
      <w:autoSpaceDN w:val="0"/>
      <w:adjustRightInd w:val="0"/>
      <w:ind w:firstLine="321"/>
      <w:jc w:val="both"/>
    </w:pPr>
    <w:rPr>
      <w:sz w:val="20"/>
      <w:szCs w:val="20"/>
    </w:rPr>
  </w:style>
  <w:style w:type="paragraph" w:customStyle="1" w:styleId="OmniPage14">
    <w:name w:val="OmniPage #14"/>
    <w:basedOn w:val="Normale"/>
    <w:rsid w:val="0023185D"/>
    <w:pPr>
      <w:tabs>
        <w:tab w:val="left" w:pos="398"/>
        <w:tab w:val="right" w:pos="4024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OmniPage15">
    <w:name w:val="OmniPage #15"/>
    <w:basedOn w:val="Normale"/>
    <w:rsid w:val="0023185D"/>
    <w:pPr>
      <w:overflowPunct w:val="0"/>
      <w:autoSpaceDE w:val="0"/>
      <w:autoSpaceDN w:val="0"/>
      <w:adjustRightInd w:val="0"/>
      <w:ind w:firstLine="321"/>
      <w:jc w:val="both"/>
    </w:pPr>
    <w:rPr>
      <w:sz w:val="20"/>
      <w:szCs w:val="20"/>
    </w:rPr>
  </w:style>
  <w:style w:type="paragraph" w:styleId="NormaleWeb">
    <w:name w:val="Normal (Web)"/>
    <w:basedOn w:val="Normale"/>
    <w:rsid w:val="002318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E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4AB4-20D3-4336-8201-2E74CBB4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FASI DELLA TRASFORMAZIONE URBANA</vt:lpstr>
    </vt:vector>
  </TitlesOfParts>
  <Company>DAACM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FASI DELLA TRASFORMAZIONE URBANA</dc:title>
  <dc:creator>Cri</dc:creator>
  <cp:lastModifiedBy>AF</cp:lastModifiedBy>
  <cp:revision>15</cp:revision>
  <dcterms:created xsi:type="dcterms:W3CDTF">2014-03-13T11:19:00Z</dcterms:created>
  <dcterms:modified xsi:type="dcterms:W3CDTF">2014-03-18T07:44:00Z</dcterms:modified>
</cp:coreProperties>
</file>